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page">
              <wp:posOffset>5372100</wp:posOffset>
            </wp:positionH>
            <wp:positionV relativeFrom="page">
              <wp:align>top</wp:align>
            </wp:positionV>
            <wp:extent cx="2181225" cy="1419225"/>
            <wp:effectExtent b="0" l="0" r="0" t="0"/>
            <wp:wrapSquare wrapText="bothSides" distB="0" distT="0" distL="0" distR="0"/>
            <wp:docPr descr="C:\Users\Zhansaya.sady\Downloads\4 (2).jpg" id="14"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4192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sz w:val="28"/>
          <w:szCs w:val="28"/>
          <w:rtl w:val="0"/>
        </w:rPr>
        <w:t xml:space="preserve">«Маркетинг» мамандығы бойынша бакалавриат бағдарламасының оқу жоспары</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БАКАЛАВРИАТ БАҒДАРЛАМАСЫНА ШОЛУ </w:t>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«Маркетинг» мамандығы бойынша бакалавриат бағдарламасының талаптары</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Базалық дайындық пәндері</w:t>
            </w:r>
            <w:r w:rsidDel="00000000" w:rsidR="00000000" w:rsidRPr="00000000">
              <w:rPr>
                <w:rtl w:val="0"/>
              </w:rPr>
            </w:r>
          </w:p>
        </w:tc>
        <w:tc>
          <w:tcPr/>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Университеттің міндетті пәндері </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Бизнес Мектебінің міндетті пәндері</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Негізгі мамандану бойынша пәндер</w:t>
            </w:r>
            <w:r w:rsidDel="00000000" w:rsidR="00000000" w:rsidRPr="00000000">
              <w:rPr>
                <w:rtl w:val="0"/>
              </w:rPr>
            </w:r>
          </w:p>
        </w:tc>
        <w:tc>
          <w:tcPr/>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Қосымша мамандану бойынша пәндер</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Тәжірибе </w:t>
            </w: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 </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9">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Базалық дайындық пәндері</w:t>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Ағылшын тілі</w:t>
            </w: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Ақпараттық-коммуникациялық технологиялар</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Қолданбалы математика негіздері</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«Адам және әлем» пәнаралық модуль</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(академиялық жазылым, әлеуметтік-саяси модуль, орыс және қазақ тілдері) </w:t>
            </w:r>
            <w:r w:rsidDel="00000000" w:rsidR="00000000" w:rsidRPr="00000000">
              <w:rPr>
                <w:rtl w:val="0"/>
              </w:rPr>
            </w:r>
          </w:p>
        </w:tc>
        <w:tc>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«Социум және саясат» пәнаралық модуль</w:t>
            </w:r>
          </w:p>
          <w:p w:rsidR="00000000" w:rsidDel="00000000" w:rsidP="00000000" w:rsidRDefault="00000000" w:rsidRPr="00000000" w14:paraId="00000029">
            <w:pPr>
              <w:jc w:val="both"/>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(Қазақстанның қазіргі заманғы тарихы, әлеуметтік-саяси модуль)</w:t>
            </w:r>
          </w:p>
        </w:tc>
        <w:tc>
          <w:tcPr/>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B">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Дене шынықтыру</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Университеттің міндетті пәндері</w:t>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Макроэкономикаға кіріспе</w:t>
            </w:r>
          </w:p>
        </w:tc>
        <w:tc>
          <w:tcPr/>
          <w:p w:rsidR="00000000" w:rsidDel="00000000" w:rsidP="00000000" w:rsidRDefault="00000000" w:rsidRPr="00000000" w14:paraId="0000003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Кәсіпкерлік </w:t>
            </w:r>
          </w:p>
        </w:tc>
        <w:tc>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Барлығы </w:t>
            </w:r>
            <w:r w:rsidDel="00000000" w:rsidR="00000000" w:rsidRPr="00000000">
              <w:rPr>
                <w:rtl w:val="0"/>
              </w:rPr>
            </w:r>
          </w:p>
        </w:tc>
        <w:tc>
          <w:tcPr/>
          <w:p w:rsidR="00000000" w:rsidDel="00000000" w:rsidP="00000000" w:rsidRDefault="00000000" w:rsidRPr="00000000" w14:paraId="0000003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E">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Бизнес Мектебінің міндетті пәндері </w:t>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Бизнестегі сандық әдістер</w:t>
            </w:r>
          </w:p>
        </w:tc>
        <w:tc>
          <w:tcPr>
            <w:tcBorders>
              <w:right w:color="000000" w:space="0" w:sz="0" w:val="nil"/>
            </w:tcBorders>
          </w:tcPr>
          <w:p w:rsidR="00000000" w:rsidDel="00000000" w:rsidP="00000000" w:rsidRDefault="00000000" w:rsidRPr="00000000" w14:paraId="0000004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Басқарушылық экономика</w:t>
            </w:r>
          </w:p>
        </w:tc>
        <w:tc>
          <w:tcPr>
            <w:tcBorders>
              <w:right w:color="000000" w:space="0" w:sz="0" w:val="nil"/>
            </w:tcBorders>
          </w:tcPr>
          <w:p w:rsidR="00000000" w:rsidDel="00000000" w:rsidP="00000000" w:rsidRDefault="00000000" w:rsidRPr="00000000" w14:paraId="0000004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Қаржылық есепке кіріспе</w:t>
            </w:r>
          </w:p>
        </w:tc>
        <w:tc>
          <w:tcPr>
            <w:tcBorders>
              <w:right w:color="000000" w:space="0" w:sz="0" w:val="nil"/>
            </w:tcBorders>
          </w:tcPr>
          <w:p w:rsidR="00000000" w:rsidDel="00000000" w:rsidP="00000000" w:rsidRDefault="00000000" w:rsidRPr="00000000" w14:paraId="000000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Шешім қабылдау үшін есеп</w:t>
            </w:r>
          </w:p>
        </w:tc>
        <w:tc>
          <w:tcPr>
            <w:tcBorders>
              <w:right w:color="000000" w:space="0" w:sz="0" w:val="nil"/>
            </w:tcBorders>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 негіздері</w:t>
            </w:r>
          </w:p>
        </w:tc>
        <w:tc>
          <w:tcPr>
            <w:tcBorders>
              <w:right w:color="000000" w:space="0" w:sz="0" w:val="nil"/>
            </w:tcBorders>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Менеджмент негіздері</w:t>
            </w:r>
          </w:p>
        </w:tc>
        <w:tc>
          <w:tcPr>
            <w:tcBorders>
              <w:bottom w:color="000000" w:space="0" w:sz="4" w:val="single"/>
              <w:right w:color="000000" w:space="0" w:sz="0" w:val="nil"/>
            </w:tcBorders>
          </w:tcPr>
          <w:p w:rsidR="00000000" w:rsidDel="00000000" w:rsidP="00000000" w:rsidRDefault="00000000" w:rsidRPr="00000000" w14:paraId="0000004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 негіздері</w:t>
            </w:r>
          </w:p>
        </w:tc>
        <w:tc>
          <w:tcPr>
            <w:tcBorders>
              <w:bottom w:color="000000" w:space="0" w:sz="4" w:val="single"/>
              <w:right w:color="000000" w:space="0" w:sz="0" w:val="nil"/>
            </w:tcBorders>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Көшбасшылық коммуникация дағдылары</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Ұйымдық мінез-құлық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Корпоративтік басқару және құқық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Перспективті зерттеулер және болжау</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C">
      <w:pPr>
        <w:spacing w:after="0" w:line="240" w:lineRule="auto"/>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1"/>
          <w:color w:val="000000"/>
        </w:rPr>
      </w:pPr>
      <w:r w:rsidDel="00000000" w:rsidR="00000000" w:rsidRPr="00000000">
        <w:rPr/>
        <w:drawing>
          <wp:anchor allowOverlap="1" behindDoc="0" distB="0" distT="0" distL="0" distR="0" hidden="0" layoutInCell="1" locked="0" relativeHeight="0" simplePos="0">
            <wp:simplePos x="0" y="0"/>
            <wp:positionH relativeFrom="page">
              <wp:align>right</wp:align>
            </wp:positionH>
            <wp:positionV relativeFrom="page">
              <wp:align>top</wp:align>
            </wp:positionV>
            <wp:extent cx="2181225" cy="1352550"/>
            <wp:effectExtent b="0" l="0" r="0" t="0"/>
            <wp:wrapSquare wrapText="bothSides" distB="0" distT="0" distL="0" distR="0"/>
            <wp:docPr descr="C:\Users\Zhansaya.sady\Downloads\4 (2).jpg" id="12"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Fonts w:ascii="Times New Roman" w:cs="Times New Roman" w:eastAsia="Times New Roman" w:hAnsi="Times New Roman"/>
          <w:b w:val="1"/>
          <w:color w:val="000000"/>
          <w:rtl w:val="0"/>
        </w:rPr>
        <w:t xml:space="preserve">Негізгі мамандану пәндері</w:t>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Міндетті пәндер</w:t>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«Маркетинг» мамандығы бойынша студенттер келесідей 4 міндетті пәндерді өтуі тиіс</w:t>
      </w:r>
    </w:p>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6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Тұтынушылар мінез-құлқы</w:t>
            </w:r>
          </w:p>
        </w:tc>
        <w:tc>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Маркетингтік зерттеулер</w:t>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Біріктірілген маркетингтік коммуникациялар</w:t>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Маркетингтік стратегия</w:t>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6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6F">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Таңдау пәндері</w:t>
      </w:r>
    </w:p>
    <w:p w:rsidR="00000000" w:rsidDel="00000000" w:rsidP="00000000" w:rsidRDefault="00000000" w:rsidRPr="00000000" w14:paraId="00000071">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Жоғарыда көрсетілген 4 міндетті пәнге қосымша студенттер төмендегі кез келген 4 пәнді өтуі керек</w:t>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10"/>
          <w:szCs w:val="1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7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Сатуды басқару</w:t>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Брендтерді басқару</w:t>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Интерактивті маркетинг және машиналық оқыту</w:t>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Сандық маркетинг және әлеуметтік желілер</w:t>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Кәсіпкерлік маркетинг</w:t>
            </w:r>
          </w:p>
        </w:tc>
        <w:tc>
          <w:tcPr/>
          <w:p w:rsidR="00000000" w:rsidDel="00000000" w:rsidP="00000000" w:rsidRDefault="00000000" w:rsidRPr="00000000" w14:paraId="0000007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В2В маркетинг</w:t>
            </w:r>
          </w:p>
        </w:tc>
        <w:tc>
          <w:tcPr/>
          <w:p w:rsidR="00000000" w:rsidDel="00000000" w:rsidP="00000000" w:rsidRDefault="00000000" w:rsidRPr="00000000" w14:paraId="0000008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Ғаламдық, этикалық және тұрақты маркетинг</w:t>
            </w:r>
          </w:p>
        </w:tc>
        <w:tc>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Тұтынушылық және маркетингтік талдау</w:t>
            </w:r>
          </w:p>
        </w:tc>
        <w:tc>
          <w:tcPr/>
          <w:p w:rsidR="00000000" w:rsidDel="00000000" w:rsidP="00000000" w:rsidRDefault="00000000" w:rsidRPr="00000000" w14:paraId="000000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6">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7">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88">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Қорытынды жоба</w:t>
      </w:r>
      <w:r w:rsidDel="00000000" w:rsidR="00000000" w:rsidRPr="00000000">
        <w:rPr>
          <w:rtl w:val="0"/>
        </w:rPr>
      </w:r>
    </w:p>
    <w:p w:rsidR="00000000" w:rsidDel="00000000" w:rsidP="00000000" w:rsidRDefault="00000000" w:rsidRPr="00000000" w14:paraId="0000008A">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Соңғы курс студенттері алған білімдерін тәжірибеде әртүрлі компанияларда, сонымен қатар ұсынылып отырған үш бағыттың біреуін таңдау арқылы дипломдық жобада қолдана алады:</w:t>
      </w:r>
    </w:p>
    <w:p w:rsidR="00000000" w:rsidDel="00000000" w:rsidP="00000000" w:rsidRDefault="00000000" w:rsidRPr="00000000" w14:paraId="0000008C">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Отандық стартаптар мен ұйымдар үшін консалтингтік жоба </w:t>
      </w:r>
    </w:p>
    <w:p w:rsidR="00000000" w:rsidDel="00000000" w:rsidP="00000000" w:rsidRDefault="00000000" w:rsidRPr="00000000" w14:paraId="0000008D">
      <w:pPr>
        <w:numPr>
          <w:ilvl w:val="0"/>
          <w:numId w:val="1"/>
        </w:numP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Нархоз Университеті профессорларынің жетекшілігімен орындалатын ғылыми-зерттеу жұмысы </w:t>
      </w:r>
    </w:p>
    <w:p w:rsidR="00000000" w:rsidDel="00000000" w:rsidP="00000000" w:rsidRDefault="00000000" w:rsidRPr="00000000" w14:paraId="0000008E">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Креативті стартап немесе кейс әзірлеу бойынша жұмыс </w:t>
      </w:r>
    </w:p>
    <w:p w:rsidR="00000000" w:rsidDel="00000000" w:rsidP="00000000" w:rsidRDefault="00000000" w:rsidRPr="00000000" w14:paraId="0000008F">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9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9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Тәжірибе</w:t>
            </w:r>
            <w:r w:rsidDel="00000000" w:rsidR="00000000" w:rsidRPr="00000000">
              <w:rPr>
                <w:rtl w:val="0"/>
              </w:rPr>
            </w:r>
          </w:p>
        </w:tc>
        <w:tc>
          <w:tcPr/>
          <w:p w:rsidR="00000000" w:rsidDel="00000000" w:rsidP="00000000" w:rsidRDefault="00000000" w:rsidRPr="00000000" w14:paraId="0000009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4">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Оқу тәжірибесі</w:t>
            </w:r>
          </w:p>
        </w:tc>
        <w:tc>
          <w:tcPr/>
          <w:p w:rsidR="00000000" w:rsidDel="00000000" w:rsidP="00000000" w:rsidRDefault="00000000" w:rsidRPr="00000000" w14:paraId="0000009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6">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Өндірістік тәжірибе</w:t>
            </w:r>
            <w:r w:rsidDel="00000000" w:rsidR="00000000" w:rsidRPr="00000000">
              <w:rPr>
                <w:rtl w:val="0"/>
              </w:rPr>
            </w:r>
          </w:p>
        </w:tc>
        <w:tc>
          <w:tcPr/>
          <w:p w:rsidR="00000000" w:rsidDel="00000000" w:rsidP="00000000" w:rsidRDefault="00000000" w:rsidRPr="00000000" w14:paraId="0000009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Дипломалды тәжірибе</w:t>
            </w:r>
            <w:r w:rsidDel="00000000" w:rsidR="00000000" w:rsidRPr="00000000">
              <w:rPr>
                <w:rtl w:val="0"/>
              </w:rPr>
            </w:r>
          </w:p>
        </w:tc>
        <w:tc>
          <w:tcPr/>
          <w:p w:rsidR="00000000" w:rsidDel="00000000" w:rsidP="00000000" w:rsidRDefault="00000000" w:rsidRPr="00000000" w14:paraId="0000009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A">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Зерттеу әдістері </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Дипломдық жобаны жазу және қорғау</w:t>
            </w:r>
            <w:r w:rsidDel="00000000" w:rsidR="00000000" w:rsidRPr="00000000">
              <w:rPr>
                <w:rtl w:val="0"/>
              </w:rPr>
            </w:r>
          </w:p>
        </w:tc>
        <w:tc>
          <w:tcPr/>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2">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A4">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Қосымша мамандану бойынша пәндер</w:t>
      </w: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ІІІ курста студенттер 24 кредиттен тұратын қосымша мамандануды таңдаулары қажет. Студенттер ұсынылған тізімнің ішінен кез келген қосымша мамандануды таңдай алады. Бірақ, Бизнес Мектеп студенттеріне кең көлемде білім деңгейін меңгеру үшін Нархоз Университетінің басқа мектептері ұсынатын қосымша мамандануды таңдау қажет. Сонымен қатар, студенттер пәнаралық қосымша мамандануды таңдай алады, мысалы:</w:t>
      </w:r>
    </w:p>
    <w:p w:rsidR="00000000" w:rsidDel="00000000" w:rsidP="00000000" w:rsidRDefault="00000000" w:rsidRPr="00000000" w14:paraId="000000A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Болашақты зерттеу және болжау</w:t>
      </w:r>
    </w:p>
    <w:p w:rsidR="00000000" w:rsidDel="00000000" w:rsidP="00000000" w:rsidRDefault="00000000" w:rsidRPr="00000000" w14:paraId="000000A9">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Корпоративтік құқық</w:t>
      </w:r>
    </w:p>
    <w:p w:rsidR="00000000" w:rsidDel="00000000" w:rsidP="00000000" w:rsidRDefault="00000000" w:rsidRPr="00000000" w14:paraId="000000AA">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Тұрақты даму</w:t>
      </w:r>
      <w:r w:rsidDel="00000000" w:rsidR="00000000" w:rsidRPr="00000000">
        <w:drawing>
          <wp:anchor allowOverlap="1" behindDoc="0" distB="0" distT="0" distL="0" distR="0" hidden="0" layoutInCell="1" locked="0" relativeHeight="0" simplePos="0">
            <wp:simplePos x="0" y="0"/>
            <wp:positionH relativeFrom="column">
              <wp:posOffset>-1080134</wp:posOffset>
            </wp:positionH>
            <wp:positionV relativeFrom="paragraph">
              <wp:posOffset>2011679</wp:posOffset>
            </wp:positionV>
            <wp:extent cx="7558405" cy="9071682"/>
            <wp:effectExtent b="0" l="0" r="0" t="0"/>
            <wp:wrapSquare wrapText="bothSides" distB="0" distT="0" distL="0" distR="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58405" cy="9071682"/>
                    </a:xfrm>
                    <a:prstGeom prst="rect"/>
                    <a:ln/>
                  </pic:spPr>
                </pic:pic>
              </a:graphicData>
            </a:graphic>
          </wp:anchor>
        </w:drawing>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HTML">
    <w:name w:val="HTML Preformatted"/>
    <w:basedOn w:val="a"/>
    <w:link w:val="HTML0"/>
    <w:uiPriority w:val="99"/>
    <w:unhideWhenUsed w:val="1"/>
    <w:rsid w:val="00E0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rsid w:val="00E03BD8"/>
    <w:rPr>
      <w:rFonts w:ascii="Courier New" w:cs="Courier New" w:eastAsia="Times New Roman" w:hAnsi="Courier New"/>
      <w:sz w:val="20"/>
      <w:szCs w:val="20"/>
      <w:lang w:eastAsia="ru-RU"/>
    </w:rPr>
  </w:style>
  <w:style w:type="paragraph" w:styleId="a6">
    <w:name w:val="Balloon Text"/>
    <w:basedOn w:val="a"/>
    <w:link w:val="a7"/>
    <w:uiPriority w:val="99"/>
    <w:semiHidden w:val="1"/>
    <w:unhideWhenUsed w:val="1"/>
    <w:rsid w:val="00A36904"/>
    <w:pPr>
      <w:spacing w:after="0" w:line="240" w:lineRule="auto"/>
    </w:pPr>
    <w:rPr>
      <w:rFonts w:ascii="Segoe UI" w:cs="Segoe UI" w:hAnsi="Segoe UI"/>
      <w:sz w:val="18"/>
      <w:szCs w:val="18"/>
    </w:rPr>
  </w:style>
  <w:style w:type="character" w:styleId="a7" w:customStyle="1">
    <w:name w:val="Текст выноски Знак"/>
    <w:basedOn w:val="a0"/>
    <w:link w:val="a6"/>
    <w:uiPriority w:val="99"/>
    <w:semiHidden w:val="1"/>
    <w:rsid w:val="00A3690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P5TC8R/MeT3oFx2N44OtzTHgQ==">AMUW2mU3Fhvh2nWmMPMPC7K7bR6SX4f/skti9T/iWfY/WIjFVtsS1SiOVyJA4NSThwqRYn+QvDR/GNgKGGC48GwfD6kUWLYD5Vt+0jfcj/ZBja611+pqXcxN7TXKTZiew0Yi2Jt0wj+8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2021-04-13T06:08:00Z</dcterms:created>
  <dc:creator>Коновалова Елена</dc:creator>
</cp:coreProperties>
</file>