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drawing>
          <wp:anchor allowOverlap="1" behindDoc="0" distB="0" distT="0" distL="0" distR="0" hidden="0" layoutInCell="1" locked="0" relativeHeight="0" simplePos="0">
            <wp:simplePos x="0" y="0"/>
            <wp:positionH relativeFrom="margin">
              <wp:posOffset>4244340</wp:posOffset>
            </wp:positionH>
            <wp:positionV relativeFrom="margin">
              <wp:posOffset>-431164</wp:posOffset>
            </wp:positionV>
            <wp:extent cx="2181225" cy="1362075"/>
            <wp:effectExtent b="0" l="0" r="0" t="0"/>
            <wp:wrapSquare wrapText="bothSides" distB="0" distT="0" distL="0" distR="0"/>
            <wp:docPr descr="C:\Users\Zhansaya.sady\Downloads\4 (2).jpg" id="13"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3620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sz w:val="28"/>
          <w:szCs w:val="28"/>
          <w:rtl w:val="0"/>
        </w:rPr>
        <w:t xml:space="preserve">«Мейрамхана ісі және мейманхана бизнесі» мамандығы бойынша бакалавриат бағдарламасының оқу жоспары</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b w:val="1"/>
          <w:color w:val="000000"/>
          <w:sz w:val="20"/>
          <w:szCs w:val="20"/>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0"/>
          <w:szCs w:val="20"/>
          <w:rtl w:val="0"/>
        </w:rPr>
        <w:t xml:space="preserve">БАКАЛАВРИАТ БАҒДАРЛАМАСЫНА ШОЛУ </w:t>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«Мейрамхана ісі және мейманхана бизнесі» мамандығы бойынша бакалавриат бағдарламасының талаптары</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Базалық дайындық пәндері</w:t>
            </w: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Университеттің міндетті пәндері </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Бизнес Мектебінің міндетті пәндері</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Негізгі мамандану бойынша пәндер</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Қосымша мамандану бойынша пәндер</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Тәжірибе </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 </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Базалық дайындық пәндері</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Ағылшын тілі</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Ақпараттық-коммуникациялық технологиялар</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Қолданбалы математика негіздері</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«Адам және әлем» пәнаралық модуль</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(академиялық жазылым, әлеуметтік-саяси модуль, орыс және қазақ тілдері) </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«Социум және саясат» пәнаралық модуль</w:t>
            </w:r>
          </w:p>
          <w:p w:rsidR="00000000" w:rsidDel="00000000" w:rsidP="00000000" w:rsidRDefault="00000000" w:rsidRPr="00000000" w14:paraId="00000029">
            <w:pPr>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(Қазақстанның қазіргі заманғы тарихы, әлеуметтік-саяси модуль)</w:t>
            </w:r>
          </w:p>
        </w:tc>
        <w:tc>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Дене шынықтыру</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Университеттің міндетті пәндері</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Макроэкономикаға кіріспе</w:t>
            </w:r>
          </w:p>
        </w:tc>
        <w:tc>
          <w:tcPr/>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Кәсіпкерлік </w:t>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Барлығы </w:t>
            </w:r>
            <w:r w:rsidDel="00000000" w:rsidR="00000000" w:rsidRPr="00000000">
              <w:rPr>
                <w:rtl w:val="0"/>
              </w:rPr>
            </w:r>
          </w:p>
        </w:tc>
        <w:tc>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E">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Бизнес Мектебінің міндетті пәндері </w:t>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Бизнестегі сандық әдістер</w:t>
            </w:r>
          </w:p>
        </w:tc>
        <w:tc>
          <w:tcPr>
            <w:tcBorders>
              <w:right w:color="000000" w:space="0" w:sz="0" w:val="nil"/>
            </w:tcBorders>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Басқарушылық экономика</w:t>
            </w:r>
          </w:p>
        </w:tc>
        <w:tc>
          <w:tcPr>
            <w:tcBorders>
              <w:right w:color="000000" w:space="0" w:sz="0" w:val="nil"/>
            </w:tcBorders>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Қаржылық есепке кіріспе</w:t>
            </w:r>
          </w:p>
        </w:tc>
        <w:tc>
          <w:tcPr>
            <w:tcBorders>
              <w:right w:color="000000" w:space="0" w:sz="0" w:val="nil"/>
            </w:tcBorders>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Шешім қабылдау үшін есеп</w:t>
            </w:r>
          </w:p>
        </w:tc>
        <w:tc>
          <w:tcPr>
            <w:tcBorders>
              <w:right w:color="000000" w:space="0" w:sz="0" w:val="nil"/>
            </w:tcBorders>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 негіздері</w:t>
            </w:r>
          </w:p>
        </w:tc>
        <w:tc>
          <w:tcPr>
            <w:tcBorders>
              <w:right w:color="000000" w:space="0" w:sz="0" w:val="nil"/>
            </w:tcBorders>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негіздері</w:t>
            </w:r>
          </w:p>
        </w:tc>
        <w:tc>
          <w:tcPr>
            <w:tcBorders>
              <w:bottom w:color="000000" w:space="0" w:sz="4" w:val="single"/>
              <w:right w:color="000000" w:space="0" w:sz="0" w:val="nil"/>
            </w:tcBorders>
          </w:tcPr>
          <w:p w:rsidR="00000000" w:rsidDel="00000000" w:rsidP="00000000" w:rsidRDefault="00000000" w:rsidRPr="00000000" w14:paraId="000000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негіздері</w:t>
            </w:r>
          </w:p>
        </w:tc>
        <w:tc>
          <w:tcPr>
            <w:tcBorders>
              <w:bottom w:color="000000" w:space="0" w:sz="4" w:val="single"/>
              <w:right w:color="000000" w:space="0" w:sz="0" w:val="nil"/>
            </w:tcBorders>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Көшбасшылық коммуникация дағдылары</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Ұйымдық мінез-құлық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Корпоративтік басқару және құқық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Перспективті зерттеулер және болжау</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C">
      <w:pPr>
        <w:spacing w:after="0" w:line="240" w:lineRule="auto"/>
        <w:rPr>
          <w:rFonts w:ascii="Times New Roman" w:cs="Times New Roman" w:eastAsia="Times New Roman" w:hAnsi="Times New Roman"/>
          <w:b w:val="1"/>
          <w:color w:val="000000"/>
        </w:rPr>
      </w:pPr>
      <w:r w:rsidDel="00000000" w:rsidR="00000000" w:rsidRPr="00000000">
        <w:rPr/>
        <w:drawing>
          <wp:anchor allowOverlap="1" behindDoc="0" distB="0" distT="0" distL="0" distR="0" hidden="0" layoutInCell="1" locked="0" relativeHeight="0" simplePos="0">
            <wp:simplePos x="0" y="0"/>
            <wp:positionH relativeFrom="margin">
              <wp:posOffset>4271645</wp:posOffset>
            </wp:positionH>
            <wp:positionV relativeFrom="margin">
              <wp:posOffset>-419099</wp:posOffset>
            </wp:positionV>
            <wp:extent cx="2181225" cy="1352550"/>
            <wp:effectExtent b="0" l="0" r="0" t="0"/>
            <wp:wrapSquare wrapText="bothSides" distB="0" distT="0" distL="0" distR="0"/>
            <wp:docPr descr="C:\Users\Zhansaya.sady\Downloads\4 (2).jpg" id="15"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000000"/>
          <w:rtl w:val="0"/>
        </w:rPr>
        <w:t xml:space="preserve">Негізгі мамандану пәндері </w:t>
      </w:r>
      <w:r w:rsidDel="00000000" w:rsidR="00000000" w:rsidRPr="00000000">
        <w:drawing>
          <wp:anchor allowOverlap="1" behindDoc="0" distB="0" distT="0" distL="114300" distR="114300" hidden="0" layoutInCell="1" locked="0" relativeHeight="0" simplePos="0">
            <wp:simplePos x="0" y="0"/>
            <wp:positionH relativeFrom="column">
              <wp:posOffset>102236</wp:posOffset>
            </wp:positionH>
            <wp:positionV relativeFrom="paragraph">
              <wp:posOffset>-427989</wp:posOffset>
            </wp:positionV>
            <wp:extent cx="895350" cy="476250"/>
            <wp:effectExtent b="0" l="0" r="0" t="0"/>
            <wp:wrapNone/>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95350" cy="476250"/>
                    </a:xfrm>
                    <a:prstGeom prst="rect"/>
                    <a:ln/>
                  </pic:spPr>
                </pic:pic>
              </a:graphicData>
            </a:graphic>
          </wp:anchor>
        </w:drawing>
      </w:r>
    </w:p>
    <w:p w:rsidR="00000000" w:rsidDel="00000000" w:rsidP="00000000" w:rsidRDefault="00000000" w:rsidRPr="00000000" w14:paraId="0000005D">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Міндетті пәндер</w:t>
      </w:r>
    </w:p>
    <w:p w:rsidR="00000000" w:rsidDel="00000000" w:rsidP="00000000" w:rsidRDefault="00000000" w:rsidRPr="00000000" w14:paraId="0000005F">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«Мейрамхана ісі және мейманхана бизнесі» мамандығы бойынша студенттер келесідей 4 міндетті пәндерді өтуі тиіс</w:t>
      </w:r>
    </w:p>
    <w:p w:rsidR="00000000" w:rsidDel="00000000" w:rsidP="00000000" w:rsidRDefault="00000000" w:rsidRPr="00000000" w14:paraId="00000061">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6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64">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индустриясына кіріспе</w:t>
            </w:r>
            <w:r w:rsidDel="00000000" w:rsidR="00000000" w:rsidRPr="00000000">
              <w:rPr>
                <w:rtl w:val="0"/>
              </w:rPr>
            </w:r>
          </w:p>
        </w:tc>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6">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менеджменті</w:t>
            </w:r>
            <w:r w:rsidDel="00000000" w:rsidR="00000000" w:rsidRPr="00000000">
              <w:rPr>
                <w:rtl w:val="0"/>
              </w:rPr>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8">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Сервисті басқару және сапаны құру</w:t>
            </w:r>
            <w:r w:rsidDel="00000000" w:rsidR="00000000" w:rsidRPr="00000000">
              <w:rPr>
                <w:rtl w:val="0"/>
              </w:rPr>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саласындағы тұтынушылардың әрекеті</w:t>
            </w:r>
            <w:r w:rsidDel="00000000" w:rsidR="00000000" w:rsidRPr="00000000">
              <w:rPr>
                <w:rtl w:val="0"/>
              </w:rPr>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6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6E">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Таңдау пәндері</w:t>
      </w:r>
    </w:p>
    <w:p w:rsidR="00000000" w:rsidDel="00000000" w:rsidP="00000000" w:rsidRDefault="00000000" w:rsidRPr="00000000" w14:paraId="00000070">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Жоғарыда көрсетілген 4 міндетті пәнге қосымша студенттер төмендегі кез келген 4 пәнді өтуі керек</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10"/>
          <w:szCs w:val="1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76">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Табысты басқару, бақылау және жоспарлау</w:t>
            </w: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мен қонақжайлылықты реттеу және қауіпсіздік</w:t>
            </w: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Мәдени мұра және мәдениетаралық басқару</w:t>
            </w:r>
            <w:r w:rsidDel="00000000" w:rsidR="00000000" w:rsidRPr="00000000">
              <w:rPr>
                <w:rtl w:val="0"/>
              </w:rPr>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Сандық технологиялар және қонақжайлылық инновациясы</w:t>
            </w:r>
            <w:r w:rsidDel="00000000" w:rsidR="00000000" w:rsidRPr="00000000">
              <w:rPr>
                <w:rtl w:val="0"/>
              </w:rPr>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MICE және event менеджмент</w:t>
            </w:r>
            <w:r w:rsidDel="00000000" w:rsidR="00000000" w:rsidRPr="00000000">
              <w:rPr>
                <w:rtl w:val="0"/>
              </w:rPr>
            </w:r>
          </w:p>
        </w:tc>
        <w:tc>
          <w:tcPr/>
          <w:p w:rsidR="00000000" w:rsidDel="00000000" w:rsidP="00000000" w:rsidRDefault="00000000" w:rsidRPr="00000000" w14:paraId="0000007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экономикасы</w:t>
            </w:r>
            <w:r w:rsidDel="00000000" w:rsidR="00000000" w:rsidRPr="00000000">
              <w:rPr>
                <w:rtl w:val="0"/>
              </w:rPr>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Гастрономиялық туризм</w:t>
            </w:r>
            <w:r w:rsidDel="00000000" w:rsidR="00000000" w:rsidRPr="00000000">
              <w:rPr>
                <w:rtl w:val="0"/>
              </w:rPr>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Сатып алу және өнім сапасын басқару</w:t>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Гастрономия және тамақ дизайны</w:t>
            </w:r>
          </w:p>
        </w:tc>
        <w:tc>
          <w:tcPr/>
          <w:p w:rsidR="00000000" w:rsidDel="00000000" w:rsidP="00000000" w:rsidRDefault="00000000" w:rsidRPr="00000000" w14:paraId="000000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Қонақжайлылық кәсіпорындарын жоспарлау, дамыту және дизайны</w:t>
            </w:r>
          </w:p>
        </w:tc>
        <w:tc>
          <w:tcPr/>
          <w:p w:rsidR="00000000" w:rsidDel="00000000" w:rsidP="00000000" w:rsidRDefault="00000000" w:rsidRPr="00000000" w14:paraId="000000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A">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B">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8C">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Қорытынды жоба</w:t>
      </w:r>
      <w:r w:rsidDel="00000000" w:rsidR="00000000" w:rsidRPr="00000000">
        <w:rPr>
          <w:rtl w:val="0"/>
        </w:rPr>
      </w:r>
    </w:p>
    <w:p w:rsidR="00000000" w:rsidDel="00000000" w:rsidP="00000000" w:rsidRDefault="00000000" w:rsidRPr="00000000" w14:paraId="0000008E">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Соңғы курс студенттері алған білімдерін тәжірибеде әртүрлі компанияларда, сонымен қатар ұсынылып отырған үш бағыттың біреуін таңдау арқылы дипломдық жобада қолдана алады:</w:t>
      </w:r>
    </w:p>
    <w:p w:rsidR="00000000" w:rsidDel="00000000" w:rsidP="00000000" w:rsidRDefault="00000000" w:rsidRPr="00000000" w14:paraId="00000090">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Отандық стартаптар мен ұйымдар үшін консалтингтік жоба </w:t>
      </w:r>
    </w:p>
    <w:p w:rsidR="00000000" w:rsidDel="00000000" w:rsidP="00000000" w:rsidRDefault="00000000" w:rsidRPr="00000000" w14:paraId="00000091">
      <w:pPr>
        <w:numPr>
          <w:ilvl w:val="0"/>
          <w:numId w:val="1"/>
        </w:numP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Нархоз Университеті профессорларынің жетекшілігімен орындалатын ғылыми-зерттеу жұмысы </w:t>
      </w:r>
    </w:p>
    <w:p w:rsidR="00000000" w:rsidDel="00000000" w:rsidP="00000000" w:rsidRDefault="00000000" w:rsidRPr="00000000" w14:paraId="00000092">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Креативті стартап немесе кейс әзірлеу бойынша жұмыс </w:t>
      </w:r>
    </w:p>
    <w:p w:rsidR="00000000" w:rsidDel="00000000" w:rsidP="00000000" w:rsidRDefault="00000000" w:rsidRPr="00000000" w14:paraId="00000093">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Тәжірибе</w:t>
            </w:r>
            <w:r w:rsidDel="00000000" w:rsidR="00000000" w:rsidRPr="00000000">
              <w:rPr>
                <w:rtl w:val="0"/>
              </w:rPr>
            </w:r>
          </w:p>
        </w:tc>
        <w:tc>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Оқу тәжірибесі</w:t>
            </w:r>
          </w:p>
        </w:tc>
        <w:tc>
          <w:tcPr/>
          <w:p w:rsidR="00000000" w:rsidDel="00000000" w:rsidP="00000000" w:rsidRDefault="00000000" w:rsidRPr="00000000" w14:paraId="0000009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A">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Өндірістік тәжірибе</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Дипломалды тәжірибе</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E">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Зерттеу әдістері </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Дипломдық жобаны жазу және қорғау</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6">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8">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Қосымша мамандану бойынша пәндер</w:t>
      </w: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ІІІ курста студенттер 24 кредиттен тұратын қосымша мамандануды таңдаулары қажет. Студенттер ұсынылған тізімнің ішінен кез келген қосымша мамандануды таңдай алады. Бірақ, Бизнес Мектеп студенттеріне кең көлемде білім деңгейін меңгеру үшін Нархоз Университетінің басқа мектептері ұсынатын қосымша мамандануды таңдау қажет. Сонымен қатар, студенттер пәнаралық қосымша мамандануды таңдай алады, мысалы:</w:t>
      </w:r>
    </w:p>
    <w:p w:rsidR="00000000" w:rsidDel="00000000" w:rsidP="00000000" w:rsidRDefault="00000000" w:rsidRPr="00000000" w14:paraId="000000A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Болашақты зерттеу және болжау</w:t>
      </w:r>
    </w:p>
    <w:p w:rsidR="00000000" w:rsidDel="00000000" w:rsidP="00000000" w:rsidRDefault="00000000" w:rsidRPr="00000000" w14:paraId="000000AD">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Корпоративтік құқық</w:t>
      </w:r>
    </w:p>
    <w:p w:rsidR="00000000" w:rsidDel="00000000" w:rsidP="00000000" w:rsidRDefault="00000000" w:rsidRPr="00000000" w14:paraId="000000AE">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Тұрақты даму</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HTML">
    <w:name w:val="HTML Preformatted"/>
    <w:basedOn w:val="a"/>
    <w:link w:val="HTML0"/>
    <w:uiPriority w:val="99"/>
    <w:unhideWhenUsed w:val="1"/>
    <w:rsid w:val="00E0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rsid w:val="00E03BD8"/>
    <w:rPr>
      <w:rFonts w:ascii="Courier New" w:cs="Courier New" w:eastAsia="Times New Roman" w:hAnsi="Courier New"/>
      <w:sz w:val="20"/>
      <w:szCs w:val="20"/>
      <w:lang w:eastAsia="ru-RU"/>
    </w:rPr>
  </w:style>
  <w:style w:type="paragraph" w:styleId="a6">
    <w:name w:val="Balloon Text"/>
    <w:basedOn w:val="a"/>
    <w:link w:val="a7"/>
    <w:uiPriority w:val="99"/>
    <w:semiHidden w:val="1"/>
    <w:unhideWhenUsed w:val="1"/>
    <w:rsid w:val="00A36904"/>
    <w:pPr>
      <w:spacing w:after="0" w:line="240" w:lineRule="auto"/>
    </w:pPr>
    <w:rPr>
      <w:rFonts w:ascii="Segoe UI" w:cs="Segoe UI" w:hAnsi="Segoe UI"/>
      <w:sz w:val="18"/>
      <w:szCs w:val="18"/>
    </w:rPr>
  </w:style>
  <w:style w:type="character" w:styleId="a7" w:customStyle="1">
    <w:name w:val="Текст выноски Знак"/>
    <w:basedOn w:val="a0"/>
    <w:link w:val="a6"/>
    <w:uiPriority w:val="99"/>
    <w:semiHidden w:val="1"/>
    <w:rsid w:val="00A3690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H1KYA7C9v1OJVzvIh7Ao4P6A==">AMUW2mX72oHmrZfpVlP1tYVtWBF5t89Zn51mhAmh3ZmDyFjpBcq9IyKo2Aajutv/umtNQsp0pCs0HnkIO7bmC8SZgM40wktPM3rHHuqb6/ZCG/xuruvD7G7kOlHsbW1T5liNwPMK3N9U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2021-04-13T06:11:00Z</dcterms:created>
  <dc:creator>Коновалова Елена</dc:creator>
</cp:coreProperties>
</file>