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bc00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bc00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bc00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81225" cy="1352550"/>
            <wp:effectExtent b="0" l="0" r="0" t="0"/>
            <wp:wrapSquare wrapText="bothSides" distB="0" distT="0" distL="0" distR="0"/>
            <wp:docPr descr="C:\Users\Zhansaya.sady\Downloads\4 (2).jpg" id="2" name="image1.jpg"/>
            <a:graphic>
              <a:graphicData uri="http://schemas.openxmlformats.org/drawingml/2006/picture">
                <pic:pic>
                  <pic:nvPicPr>
                    <pic:cNvPr descr="C:\Users\Zhansaya.sady\Downloads\4 (2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bc0024"/>
          <w:sz w:val="24"/>
          <w:szCs w:val="24"/>
          <w:rtl w:val="0"/>
        </w:rPr>
        <w:t xml:space="preserve">Учебный план программы бакалавриата по специальности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bc00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bc0024"/>
          <w:sz w:val="24"/>
          <w:szCs w:val="24"/>
          <w:rtl w:val="0"/>
        </w:rPr>
        <w:t xml:space="preserve">Экономика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bc00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ОБЗОР ПРОГРАММЫ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Требования программы бакалавриата по специальности Экономика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Категория дисциплин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Дисциплины Базовой подготовки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Обязательные дисциплины Университета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Базовые дисциплины специальности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Профилирующие дисциплины специальности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Дисциплины по дополнительной специализации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Практика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Дипломный проект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240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Дисциплины Базовой 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дисциплины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Информационно-коммуникационные 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Основы прикладной математики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Междисциплинарный модуль "Человек и мир"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академическое письмо, социально-политический модуль, русский и казахский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Междисциплинарный модуль "Социум и политика"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современная история Казахстана, социально-политический модуль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Физическая культура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62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Обязательные дисциплины Университета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дисциплины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Введение в макроэкономику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Предпринимательство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Философия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Базовые дисциплины специальности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дисциплины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Экономическое развитие Казахстана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Микроэкономика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Эконометрика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Прикладная статистика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Управление экономикой Казахстана / Основные принципы сельскохозяйственной науки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Макроэкономика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Динамика мировой экономики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Экономика труда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дисциплины (продолжение)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Государственное управление экономикой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Экономический анализ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Профилирующие дисциплины специальности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дисциплины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Экономика предприятия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Макроэкономическая стабильность / Сельское хозяйство и экономика сельского хозяйства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Международная экономика / Экономика аграрного сектора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Экономика регионального развития / Экономика устойчивого развития в сельском хозяйстве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Макроэкономическая политика и прогноз / Продовольственные рынки и маркетинг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Экономика технологий и инноваций / Продовольственное снабжение и логистика в сельском хозяйстве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Экономический анализ социальных проблем / Технология, инновации и умное сельское хозяйство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Экономика устойчивого развития / Предпринимательство в сельском хозяйстве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Конкурентоспособность экономики Казахстана / Мировая продовольственная безопасность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Дополнительная специализация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Студенты должны пройти 4 дисциплины дополнительной специализации (в целом, 24 кредита) на протяжении 3-4 года обучения. Дополнительную специализацию выбирают согласно Каталогу майноров. Для получения более широкого спектра знаний, рекомендовано выбрать дополнительную специализацию, не родственную собственной специальности студента. 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Практика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Виды практики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Учебная практика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Производственная практика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Преддипломная практика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Дипломный проект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41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2024"/>
        <w:tblGridChange w:id="0">
          <w:tblGrid>
            <w:gridCol w:w="5387"/>
            <w:gridCol w:w="2024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Категория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Кредиты (ECTS)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Дисциплина Методы исследований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Написание и защита дипломной работы (проекта)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B76C0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 w:val="1"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D24D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CfSwqgL6tL8QzPCQrcwmKIkJA==">AMUW2mX8XIORScNN5tf3C9pPZ3P7TV0B9wQstCMKPAXUZymbi1Mtlgm2VDqxrVSc7/miwmleZlbJQX2Csm0d+8xSjVb44oXjaTKFhhbQ2nUdITrchNMjY6W5FymD7QmZnIjQfweRZYbMsQYEwQUlQe8tclxfrmZm912khSy9FX8XeC+SOj60NOpyD0Wbwk9nHZaYVeBl3IDi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2020-08-12T09:08:00Z</dcterms:created>
  <dc:creator>user</dc:creator>
</cp:coreProperties>
</file>